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80.9765625"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Message to Credential Candidate </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the vibrant community of the SFSU Department of Elementary Education! We're thrilled to embark on this journey alongside you, offering our unwavering support and guidance. We're here to nurture your growth into an exceptional, passionate educator poised to make a profound difference in the lives of both present and future learners.</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October 2022, the Senate's passage of SB 488 marked a pivotal moment, giving rise to Program Standard 7: Effective Literacy Instruction for All Students. This page contains a comprehensive guide for Program Standard 7 and its supporting documents, serving as your invaluable compass throughout the program. Here, you'll hone your craft, cultivating an evidence-based, culturally responsive approach to literacy education that empowers and uplifts diverse student communities.</w:t>
      </w:r>
    </w:p>
    <w:p w:rsidR="00000000" w:rsidDel="00000000" w:rsidP="00000000" w:rsidRDefault="00000000" w:rsidRPr="00000000" w14:paraId="00000007">
      <w:pPr>
        <w:ind w:left="0" w:firstLine="0"/>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Standard 7: Effective Literacy Instruction for All Students</w:t>
            </w:r>
          </w:p>
        </w:tc>
      </w:tr>
    </w:tbl>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CTC documentation of Program Standard 7 and TPEs</w:t>
        </w:r>
      </w:hyperlink>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Teaching Performance Expectations (TPEs) Placemat</w:t>
            </w:r>
          </w:p>
        </w:tc>
      </w:tr>
    </w:tbl>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TPE placement: visual detailing of all TPEs, including TPE 7</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12.373046875"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Literacy Performance Assessment</w:t>
            </w:r>
          </w:p>
        </w:tc>
      </w:tr>
    </w:tbl>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Guidelines and information for literacy performance assessment (forthcoming)</w:t>
        </w:r>
      </w:hyperlink>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12.373046875"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MTSS and Universal Design for Learning (UDL)</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Universal Design for Learning Guidelines Graphic Organizer</w:t>
        </w:r>
      </w:hyperlink>
      <w:r w:rsidDel="00000000" w:rsidR="00000000" w:rsidRPr="00000000">
        <w:rPr>
          <w:rtl w:val="0"/>
        </w:rPr>
      </w:r>
    </w:p>
    <w:p w:rsidR="00000000" w:rsidDel="00000000" w:rsidP="00000000" w:rsidRDefault="00000000" w:rsidRPr="00000000" w14:paraId="00000017">
      <w:pPr>
        <w:shd w:fill="ffffff" w:val="clear"/>
        <w:spacing w:line="240" w:lineRule="auto"/>
        <w:ind w:left="0" w:firstLine="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California MTSS Framework</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80.9765625"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ELA/ELD Framework and Resources</w:t>
            </w:r>
          </w:p>
        </w:tc>
      </w:tr>
    </w:tbl>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CTC Resource for ELA/ELD Framework</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Implementation Support for ELA/ELD Framework</w:t>
        </w:r>
      </w:hyperlink>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California Practitioners Guide for Educating English Learners with Disabilities</w:t>
        </w:r>
      </w:hyperlink>
      <w:r w:rsidDel="00000000" w:rsidR="00000000" w:rsidRPr="00000000">
        <w:rPr>
          <w:rtl w:val="0"/>
        </w:rPr>
      </w:r>
    </w:p>
    <w:p w:rsidR="00000000" w:rsidDel="00000000" w:rsidP="00000000" w:rsidRDefault="00000000" w:rsidRPr="00000000" w14:paraId="0000001E">
      <w:pPr>
        <w:shd w:fill="ffffff" w:val="clear"/>
        <w:spacing w:line="240" w:lineRule="auto"/>
        <w:ind w:left="0" w:firstLine="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Improving Education for Multilingual and English Learner Students</w:t>
        </w:r>
      </w:hyperlink>
      <w:r w:rsidDel="00000000" w:rsidR="00000000" w:rsidRPr="00000000">
        <w:rPr>
          <w:rtl w:val="0"/>
        </w:rPr>
      </w:r>
    </w:p>
    <w:p w:rsidR="00000000" w:rsidDel="00000000" w:rsidP="00000000" w:rsidRDefault="00000000" w:rsidRPr="00000000" w14:paraId="0000001F">
      <w:pPr>
        <w:shd w:fill="ffffff" w:val="clear"/>
        <w:spacing w:line="240" w:lineRule="auto"/>
        <w:ind w:left="0" w:firstLine="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California English Language Development Standards</w:t>
        </w:r>
      </w:hyperlink>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1155cc"/>
            <w:sz w:val="24"/>
            <w:szCs w:val="24"/>
            <w:u w:val="single"/>
            <w:rtl w:val="0"/>
          </w:rPr>
          <w:t xml:space="preserve">Foundational Reading Skills Resource</w:t>
        </w:r>
      </w:hyperlink>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tbl>
      <w:tblPr>
        <w:tblStyle w:val="Table7"/>
        <w:tblpPr w:leftFromText="180" w:rightFromText="180" w:topFromText="180" w:bottomFromText="180" w:vertAnchor="text" w:horzAnchor="text"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80.9765625" w:hRule="atLeast"/>
          <w:tblHeader w:val="0"/>
        </w:trPr>
        <w:tc>
          <w:tcPr>
            <w:shd w:fill="d9d2e9" w:val="clea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Dyslexia Resources </w:t>
            </w:r>
          </w:p>
        </w:tc>
      </w:tr>
    </w:tbl>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1155cc"/>
            <w:sz w:val="24"/>
            <w:szCs w:val="24"/>
            <w:u w:val="single"/>
            <w:rtl w:val="0"/>
          </w:rPr>
          <w:t xml:space="preserve">California Dyslexia Guidelines</w:t>
        </w:r>
      </w:hyperlink>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UC/CSU Collaborative for Neurodiversity and Learning</w:t>
        </w:r>
      </w:hyperlink>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1155cc"/>
            <w:sz w:val="24"/>
            <w:szCs w:val="24"/>
            <w:u w:val="single"/>
            <w:rtl w:val="0"/>
          </w:rPr>
          <w:t xml:space="preserve">California Dyslexia Initiative</w:t>
        </w:r>
      </w:hyperlink>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1155cc"/>
            <w:sz w:val="24"/>
            <w:szCs w:val="24"/>
            <w:u w:val="single"/>
            <w:rtl w:val="0"/>
          </w:rPr>
          <w:t xml:space="preserve">International Dyslexia Association </w:t>
        </w:r>
      </w:hyperlink>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tbl>
      <w:tblPr>
        <w:tblStyle w:val="Table8"/>
        <w:tblpPr w:leftFromText="180" w:rightFromText="180" w:topFromText="180" w:bottomFromText="180" w:vertAnchor="text" w:horzAnchor="text" w:tblpX="0" w:tblpY="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10" w:hRule="atLeast"/>
          <w:tblHeader w:val="0"/>
        </w:trPr>
        <w:tc>
          <w:tcPr>
            <w:shd w:fill="d9d2e9" w:val="clea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Explicit, Direct, Systematic Instruction </w:t>
            </w:r>
          </w:p>
        </w:tc>
      </w:tr>
    </w:tbl>
    <w:p w:rsidR="00000000" w:rsidDel="00000000" w:rsidP="00000000" w:rsidRDefault="00000000" w:rsidRPr="00000000" w14:paraId="0000002A">
      <w:pPr>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Purposeful, Direct, Explicit, and Systematic Instruction</w:t>
        </w:r>
      </w:hyperlink>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80.9765625" w:hRule="atLeast"/>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Diagnostic Testing and Assessment </w:t>
            </w:r>
          </w:p>
        </w:tc>
      </w:tr>
    </w:tbl>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1155cc"/>
            <w:sz w:val="24"/>
            <w:szCs w:val="24"/>
            <w:u w:val="single"/>
            <w:rtl w:val="0"/>
          </w:rPr>
          <w:t xml:space="preserve">IDA: Universal Screening K-2 Literacy</w:t>
        </w:r>
      </w:hyperlink>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Assessment for Learning Resource</w:t>
        </w:r>
      </w:hyperlink>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Materials</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sz w:val="24"/>
          <w:szCs w:val="24"/>
          <w:u w:val="none"/>
        </w:rPr>
      </w:pPr>
      <w:hyperlink r:id="rId24">
        <w:r w:rsidDel="00000000" w:rsidR="00000000" w:rsidRPr="00000000">
          <w:rPr>
            <w:rFonts w:ascii="Times New Roman" w:cs="Times New Roman" w:eastAsia="Times New Roman" w:hAnsi="Times New Roman"/>
            <w:color w:val="1155cc"/>
            <w:sz w:val="24"/>
            <w:szCs w:val="24"/>
            <w:u w:val="single"/>
            <w:rtl w:val="0"/>
          </w:rPr>
          <w:t xml:space="preserve">Concepts about Print</w:t>
        </w:r>
      </w:hyperlink>
      <w:r w:rsidDel="00000000" w:rsidR="00000000" w:rsidRPr="00000000">
        <w:rPr>
          <w:rtl w:val="0"/>
        </w:rPr>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Phonemic Awareness</w:t>
      </w:r>
    </w:p>
    <w:p w:rsidR="00000000" w:rsidDel="00000000" w:rsidP="00000000" w:rsidRDefault="00000000" w:rsidRPr="00000000" w14:paraId="00000033">
      <w:pPr>
        <w:numPr>
          <w:ilvl w:val="1"/>
          <w:numId w:val="1"/>
        </w:numPr>
        <w:ind w:left="1440" w:hanging="360"/>
        <w:rPr>
          <w:rFonts w:ascii="Times New Roman" w:cs="Times New Roman" w:eastAsia="Times New Roman" w:hAnsi="Times New Roman"/>
          <w:sz w:val="24"/>
          <w:szCs w:val="24"/>
          <w:u w:val="none"/>
        </w:rPr>
      </w:pPr>
      <w:hyperlink r:id="rId25">
        <w:r w:rsidDel="00000000" w:rsidR="00000000" w:rsidRPr="00000000">
          <w:rPr>
            <w:rFonts w:ascii="Times New Roman" w:cs="Times New Roman" w:eastAsia="Times New Roman" w:hAnsi="Times New Roman"/>
            <w:color w:val="1155cc"/>
            <w:sz w:val="24"/>
            <w:szCs w:val="24"/>
            <w:u w:val="single"/>
            <w:rtl w:val="0"/>
          </w:rPr>
          <w:t xml:space="preserve">Form A</w:t>
        </w:r>
      </w:hyperlink>
      <w:r w:rsidDel="00000000" w:rsidR="00000000" w:rsidRPr="00000000">
        <w:rPr>
          <w:rtl w:val="0"/>
        </w:rPr>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sz w:val="24"/>
          <w:szCs w:val="24"/>
          <w:u w:val="none"/>
        </w:rPr>
      </w:pPr>
      <w:hyperlink r:id="rId26">
        <w:r w:rsidDel="00000000" w:rsidR="00000000" w:rsidRPr="00000000">
          <w:rPr>
            <w:rFonts w:ascii="Times New Roman" w:cs="Times New Roman" w:eastAsia="Times New Roman" w:hAnsi="Times New Roman"/>
            <w:color w:val="1155cc"/>
            <w:sz w:val="24"/>
            <w:szCs w:val="24"/>
            <w:u w:val="single"/>
            <w:rtl w:val="0"/>
          </w:rPr>
          <w:t xml:space="preserve">Form B</w:t>
        </w:r>
      </w:hyperlink>
      <w:r w:rsidDel="00000000" w:rsidR="00000000" w:rsidRPr="00000000">
        <w:rPr>
          <w:rtl w:val="0"/>
        </w:rPr>
      </w:r>
    </w:p>
    <w:p w:rsidR="00000000" w:rsidDel="00000000" w:rsidP="00000000" w:rsidRDefault="00000000" w:rsidRPr="00000000" w14:paraId="00000035">
      <w:pPr>
        <w:numPr>
          <w:ilvl w:val="1"/>
          <w:numId w:val="1"/>
        </w:numPr>
        <w:ind w:left="1440" w:hanging="360"/>
        <w:rPr>
          <w:rFonts w:ascii="Times New Roman" w:cs="Times New Roman" w:eastAsia="Times New Roman" w:hAnsi="Times New Roman"/>
          <w:sz w:val="24"/>
          <w:szCs w:val="24"/>
          <w:u w:val="none"/>
        </w:rPr>
      </w:pPr>
      <w:hyperlink r:id="rId27">
        <w:r w:rsidDel="00000000" w:rsidR="00000000" w:rsidRPr="00000000">
          <w:rPr>
            <w:rFonts w:ascii="Times New Roman" w:cs="Times New Roman" w:eastAsia="Times New Roman" w:hAnsi="Times New Roman"/>
            <w:color w:val="1155cc"/>
            <w:sz w:val="24"/>
            <w:szCs w:val="24"/>
            <w:u w:val="single"/>
            <w:rtl w:val="0"/>
          </w:rPr>
          <w:t xml:space="preserve">Form C</w:t>
        </w:r>
      </w:hyperlink>
      <w:r w:rsidDel="00000000" w:rsidR="00000000" w:rsidRPr="00000000">
        <w:rPr>
          <w:rtl w:val="0"/>
        </w:rPr>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Phonics</w:t>
      </w:r>
    </w:p>
    <w:p w:rsidR="00000000" w:rsidDel="00000000" w:rsidP="00000000" w:rsidRDefault="00000000" w:rsidRPr="00000000" w14:paraId="00000037">
      <w:pPr>
        <w:numPr>
          <w:ilvl w:val="1"/>
          <w:numId w:val="1"/>
        </w:numPr>
        <w:ind w:left="1440" w:hanging="360"/>
        <w:rPr>
          <w:rFonts w:ascii="Times New Roman" w:cs="Times New Roman" w:eastAsia="Times New Roman" w:hAnsi="Times New Roman"/>
          <w:sz w:val="24"/>
          <w:szCs w:val="24"/>
          <w:u w:val="none"/>
        </w:rPr>
      </w:pPr>
      <w:hyperlink r:id="rId28">
        <w:r w:rsidDel="00000000" w:rsidR="00000000" w:rsidRPr="00000000">
          <w:rPr>
            <w:rFonts w:ascii="Times New Roman" w:cs="Times New Roman" w:eastAsia="Times New Roman" w:hAnsi="Times New Roman"/>
            <w:color w:val="1155cc"/>
            <w:sz w:val="24"/>
            <w:szCs w:val="24"/>
            <w:u w:val="single"/>
            <w:rtl w:val="0"/>
          </w:rPr>
          <w:t xml:space="preserve">Version 1</w:t>
        </w:r>
      </w:hyperlink>
      <w:r w:rsidDel="00000000" w:rsidR="00000000" w:rsidRPr="00000000">
        <w:rPr>
          <w:rtl w:val="0"/>
        </w:rPr>
      </w:r>
    </w:p>
    <w:p w:rsidR="00000000" w:rsidDel="00000000" w:rsidP="00000000" w:rsidRDefault="00000000" w:rsidRPr="00000000" w14:paraId="00000038">
      <w:pPr>
        <w:numPr>
          <w:ilvl w:val="1"/>
          <w:numId w:val="1"/>
        </w:numPr>
        <w:ind w:left="1440" w:hanging="360"/>
        <w:rPr>
          <w:rFonts w:ascii="Times New Roman" w:cs="Times New Roman" w:eastAsia="Times New Roman" w:hAnsi="Times New Roman"/>
          <w:sz w:val="24"/>
          <w:szCs w:val="24"/>
          <w:u w:val="none"/>
        </w:rPr>
      </w:pPr>
      <w:hyperlink r:id="rId29">
        <w:r w:rsidDel="00000000" w:rsidR="00000000" w:rsidRPr="00000000">
          <w:rPr>
            <w:rFonts w:ascii="Times New Roman" w:cs="Times New Roman" w:eastAsia="Times New Roman" w:hAnsi="Times New Roman"/>
            <w:color w:val="1155cc"/>
            <w:sz w:val="24"/>
            <w:szCs w:val="24"/>
            <w:u w:val="single"/>
            <w:rtl w:val="0"/>
          </w:rPr>
          <w:t xml:space="preserve">Version 2</w:t>
        </w:r>
      </w:hyperlink>
      <w:r w:rsidDel="00000000" w:rsidR="00000000" w:rsidRPr="00000000">
        <w:rPr>
          <w:rtl w:val="0"/>
        </w:rPr>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Spelling Inventory</w:t>
      </w:r>
    </w:p>
    <w:p w:rsidR="00000000" w:rsidDel="00000000" w:rsidP="00000000" w:rsidRDefault="00000000" w:rsidRPr="00000000" w14:paraId="0000003A">
      <w:pPr>
        <w:numPr>
          <w:ilvl w:val="1"/>
          <w:numId w:val="1"/>
        </w:numPr>
        <w:ind w:left="1440" w:hanging="360"/>
        <w:rPr>
          <w:rFonts w:ascii="Times New Roman" w:cs="Times New Roman" w:eastAsia="Times New Roman" w:hAnsi="Times New Roman"/>
          <w:sz w:val="24"/>
          <w:szCs w:val="24"/>
          <w:u w:val="none"/>
        </w:rPr>
      </w:pPr>
      <w:hyperlink r:id="rId30">
        <w:r w:rsidDel="00000000" w:rsidR="00000000" w:rsidRPr="00000000">
          <w:rPr>
            <w:rFonts w:ascii="Times New Roman" w:cs="Times New Roman" w:eastAsia="Times New Roman" w:hAnsi="Times New Roman"/>
            <w:color w:val="1155cc"/>
            <w:sz w:val="24"/>
            <w:szCs w:val="24"/>
            <w:u w:val="single"/>
            <w:rtl w:val="0"/>
          </w:rPr>
          <w:t xml:space="preserve">Guidelines</w:t>
        </w:r>
      </w:hyperlink>
      <w:r w:rsidDel="00000000" w:rsidR="00000000" w:rsidRPr="00000000">
        <w:rPr>
          <w:rtl w:val="0"/>
        </w:rPr>
      </w:r>
    </w:p>
    <w:p w:rsidR="00000000" w:rsidDel="00000000" w:rsidP="00000000" w:rsidRDefault="00000000" w:rsidRPr="00000000" w14:paraId="0000003B">
      <w:pPr>
        <w:numPr>
          <w:ilvl w:val="1"/>
          <w:numId w:val="1"/>
        </w:numPr>
        <w:ind w:left="1440" w:hanging="360"/>
        <w:rPr>
          <w:rFonts w:ascii="Times New Roman" w:cs="Times New Roman" w:eastAsia="Times New Roman" w:hAnsi="Times New Roman"/>
          <w:sz w:val="24"/>
          <w:szCs w:val="24"/>
          <w:u w:val="none"/>
        </w:rPr>
      </w:pPr>
      <w:hyperlink r:id="rId31">
        <w:r w:rsidDel="00000000" w:rsidR="00000000" w:rsidRPr="00000000">
          <w:rPr>
            <w:rFonts w:ascii="Times New Roman" w:cs="Times New Roman" w:eastAsia="Times New Roman" w:hAnsi="Times New Roman"/>
            <w:color w:val="1155cc"/>
            <w:sz w:val="24"/>
            <w:szCs w:val="24"/>
            <w:u w:val="single"/>
            <w:rtl w:val="0"/>
          </w:rPr>
          <w:t xml:space="preserve">Elementary Spelling Inventory</w:t>
        </w:r>
      </w:hyperlink>
      <w:r w:rsidDel="00000000" w:rsidR="00000000" w:rsidRPr="00000000">
        <w:rPr>
          <w:rtl w:val="0"/>
        </w:rPr>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sz w:val="24"/>
          <w:szCs w:val="24"/>
          <w:u w:val="none"/>
        </w:rPr>
      </w:pPr>
      <w:hyperlink r:id="rId32">
        <w:r w:rsidDel="00000000" w:rsidR="00000000" w:rsidRPr="00000000">
          <w:rPr>
            <w:rFonts w:ascii="Times New Roman" w:cs="Times New Roman" w:eastAsia="Times New Roman" w:hAnsi="Times New Roman"/>
            <w:color w:val="1155cc"/>
            <w:sz w:val="24"/>
            <w:szCs w:val="24"/>
            <w:u w:val="single"/>
            <w:rtl w:val="0"/>
          </w:rPr>
          <w:t xml:space="preserve">Primary Spelling Inventory</w:t>
        </w:r>
      </w:hyperlink>
      <w:r w:rsidDel="00000000" w:rsidR="00000000" w:rsidRPr="00000000">
        <w:rPr>
          <w:rtl w:val="0"/>
        </w:rPr>
      </w:r>
    </w:p>
    <w:p w:rsidR="00000000" w:rsidDel="00000000" w:rsidP="00000000" w:rsidRDefault="00000000" w:rsidRPr="00000000" w14:paraId="0000003D">
      <w:pPr>
        <w:numPr>
          <w:ilvl w:val="1"/>
          <w:numId w:val="1"/>
        </w:numPr>
        <w:ind w:left="1440" w:hanging="360"/>
        <w:rPr>
          <w:rFonts w:ascii="Times New Roman" w:cs="Times New Roman" w:eastAsia="Times New Roman" w:hAnsi="Times New Roman"/>
          <w:sz w:val="24"/>
          <w:szCs w:val="24"/>
          <w:u w:val="none"/>
        </w:rPr>
      </w:pPr>
      <w:hyperlink r:id="rId33">
        <w:r w:rsidDel="00000000" w:rsidR="00000000" w:rsidRPr="00000000">
          <w:rPr>
            <w:rFonts w:ascii="Times New Roman" w:cs="Times New Roman" w:eastAsia="Times New Roman" w:hAnsi="Times New Roman"/>
            <w:color w:val="1155cc"/>
            <w:sz w:val="24"/>
            <w:szCs w:val="24"/>
            <w:u w:val="single"/>
            <w:rtl w:val="0"/>
          </w:rPr>
          <w:t xml:space="preserve">Upper Spelling Inventory</w:t>
        </w:r>
      </w:hyperlink>
      <w:r w:rsidDel="00000000" w:rsidR="00000000" w:rsidRPr="00000000">
        <w:rPr>
          <w:rtl w:val="0"/>
        </w:rPr>
      </w:r>
    </w:p>
    <w:p w:rsidR="00000000" w:rsidDel="00000000" w:rsidP="00000000" w:rsidRDefault="00000000" w:rsidRPr="00000000" w14:paraId="0000003E">
      <w:pPr>
        <w:numPr>
          <w:ilvl w:val="1"/>
          <w:numId w:val="1"/>
        </w:numPr>
        <w:ind w:left="1440" w:hanging="360"/>
        <w:rPr>
          <w:rFonts w:ascii="Times New Roman" w:cs="Times New Roman" w:eastAsia="Times New Roman" w:hAnsi="Times New Roman"/>
          <w:sz w:val="24"/>
          <w:szCs w:val="24"/>
          <w:u w:val="none"/>
        </w:rPr>
      </w:pPr>
      <w:hyperlink r:id="rId34">
        <w:r w:rsidDel="00000000" w:rsidR="00000000" w:rsidRPr="00000000">
          <w:rPr>
            <w:rFonts w:ascii="Times New Roman" w:cs="Times New Roman" w:eastAsia="Times New Roman" w:hAnsi="Times New Roman"/>
            <w:color w:val="1155cc"/>
            <w:sz w:val="24"/>
            <w:szCs w:val="24"/>
            <w:u w:val="single"/>
            <w:rtl w:val="0"/>
          </w:rPr>
          <w:t xml:space="preserve">Additional Resources</w:t>
        </w:r>
      </w:hyperlink>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yslexiaida.org/" TargetMode="External"/><Relationship Id="rId22" Type="http://schemas.openxmlformats.org/officeDocument/2006/relationships/hyperlink" Target="https://dyslexiaida.org/universal-screening-k-2-reading/" TargetMode="External"/><Relationship Id="rId21" Type="http://schemas.openxmlformats.org/officeDocument/2006/relationships/hyperlink" Target="https://www.cde.state.co.us/coloradoliteracy/clf/eightelements_04-purposefulinstruction" TargetMode="External"/><Relationship Id="rId24" Type="http://schemas.openxmlformats.org/officeDocument/2006/relationships/hyperlink" Target="https://drive.google.com/file/d/1BDPH_g2ZRxX4EnsGb_VfeGQW2-HJCiNY/view?usp=sharing" TargetMode="External"/><Relationship Id="rId23" Type="http://schemas.openxmlformats.org/officeDocument/2006/relationships/hyperlink" Target="https://www.ldatschool.ca/wp-content/uploads/2022/03/Cheat-Sheet-ENGLISH.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dlguidelines.cast.org/binaries/content/assets/udlguidelines/udlg-v2-2/udlg_graphicorganizer_v2-2_numbers-no.pdf" TargetMode="External"/><Relationship Id="rId26" Type="http://schemas.openxmlformats.org/officeDocument/2006/relationships/hyperlink" Target="https://drive.google.com/file/d/1SXSjYx8vsqkk_L9TaRj-Puq9mc4iEp2R/view?usp=sharing" TargetMode="External"/><Relationship Id="rId25" Type="http://schemas.openxmlformats.org/officeDocument/2006/relationships/hyperlink" Target="https://drive.google.com/file/d/1Pj4ltAaGUmikuDFi1W27hYza5m4OuZjZ/view?usp=sharing" TargetMode="External"/><Relationship Id="rId28" Type="http://schemas.openxmlformats.org/officeDocument/2006/relationships/hyperlink" Target="https://drive.google.com/file/d/1Z8vdpqoPDQj9GvQ-dBsXJisMNW2_XMTk/view?usp=sharing" TargetMode="External"/><Relationship Id="rId27" Type="http://schemas.openxmlformats.org/officeDocument/2006/relationships/hyperlink" Target="https://drive.google.com/file/d/1IUMbjVKrIgi-M8w7e4LoQyroHwaA0AhL/view?usp=sharing" TargetMode="External"/><Relationship Id="rId5" Type="http://schemas.openxmlformats.org/officeDocument/2006/relationships/styles" Target="styles.xml"/><Relationship Id="rId6" Type="http://schemas.openxmlformats.org/officeDocument/2006/relationships/hyperlink" Target="https://www.ctc.ca.gov/docs/default-source/educator-prep/standards/ms-ss-literacy-standard-tpes.pdf?sfvrsn=eea226b1_12" TargetMode="External"/><Relationship Id="rId29" Type="http://schemas.openxmlformats.org/officeDocument/2006/relationships/hyperlink" Target="https://drive.google.com/file/d/1T_68rSAGxu7CMdVShGvpiS8BH4Epwgwb/view?usp=sharing" TargetMode="External"/><Relationship Id="rId7" Type="http://schemas.openxmlformats.org/officeDocument/2006/relationships/hyperlink" Target="https://www.ctc.ca.gov/docs/default-source/educator-prep/standards/tpe-1-6-placemat.pdf?sfvrsn=d9715cb1_5" TargetMode="External"/><Relationship Id="rId8" Type="http://schemas.openxmlformats.org/officeDocument/2006/relationships/hyperlink" Target="https://www.ctc.ca.gov/educator-prep/literacy-and-reading-instruction" TargetMode="External"/><Relationship Id="rId31" Type="http://schemas.openxmlformats.org/officeDocument/2006/relationships/hyperlink" Target="https://docs.google.com/document/d/1UwMT4M_V4MeYrtjxCE9wlL7lVFTrB8-K/edit?usp=sharing&amp;ouid=107892460043137874682&amp;rtpof=true&amp;sd=true" TargetMode="External"/><Relationship Id="rId30" Type="http://schemas.openxmlformats.org/officeDocument/2006/relationships/hyperlink" Target="https://drive.google.com/file/d/1EFx6HLWGhmvdy5q6NpeUMuudLpnDQznP/view?usp=sharing" TargetMode="External"/><Relationship Id="rId11" Type="http://schemas.openxmlformats.org/officeDocument/2006/relationships/hyperlink" Target="https://www.cde.ca.gov/ci/rl/cf/elaeldfrmwrksbeadopted.asp" TargetMode="External"/><Relationship Id="rId33" Type="http://schemas.openxmlformats.org/officeDocument/2006/relationships/hyperlink" Target="https://docs.google.com/document/d/1FI51gQbdHlWh39sF5rLFbohIFtx9VY2E/edit?usp=sharing&amp;ouid=107892460043137874682&amp;rtpof=true&amp;sd=true" TargetMode="External"/><Relationship Id="rId10" Type="http://schemas.openxmlformats.org/officeDocument/2006/relationships/hyperlink" Target="https://ocde.us/MTSS/PublishingImages/Pages/Guide-to-Understanding-CA-MTSS/Guide%20to%20Implementing%20California%20MTSS.pdf" TargetMode="External"/><Relationship Id="rId32" Type="http://schemas.openxmlformats.org/officeDocument/2006/relationships/hyperlink" Target="https://docs.google.com/document/d/1LbRlzvAxFkbAR8wC3bgCDpSDnMI_3ifD/edit?usp=sharing&amp;ouid=107892460043137874682&amp;rtpof=true&amp;sd=true" TargetMode="External"/><Relationship Id="rId13" Type="http://schemas.openxmlformats.org/officeDocument/2006/relationships/hyperlink" Target="https://www.cde.ca.gov/sp/se/ac/documents/ab2785guide.pdf" TargetMode="External"/><Relationship Id="rId12" Type="http://schemas.openxmlformats.org/officeDocument/2006/relationships/hyperlink" Target="https://www.cde.ca.gov/ci/rl/cf/isresources-allgrades.asp" TargetMode="External"/><Relationship Id="rId34" Type="http://schemas.openxmlformats.org/officeDocument/2006/relationships/hyperlink" Target="https://drive.google.com/file/d/1Znq_kCrUyJbNeBejXtuJ5cy5tS234iNy/view?usp=sharing" TargetMode="External"/><Relationship Id="rId15" Type="http://schemas.openxmlformats.org/officeDocument/2006/relationships/hyperlink" Target="https://www.cde.ca.gov/sp/ml/documents/eldstndspublication14.pdf" TargetMode="External"/><Relationship Id="rId14" Type="http://schemas.openxmlformats.org/officeDocument/2006/relationships/hyperlink" Target="https://www.cde.ca.gov/sp/ml/documents/mleleducation.pdf" TargetMode="External"/><Relationship Id="rId17" Type="http://schemas.openxmlformats.org/officeDocument/2006/relationships/hyperlink" Target="https://www.cde.ca.gov/sp/se/ac/documents/cadyslexiaguidelines.PDF" TargetMode="External"/><Relationship Id="rId16" Type="http://schemas.openxmlformats.org/officeDocument/2006/relationships/hyperlink" Target="https://www.cde.ca.gov/ci/rl/cf/documents/foundskillswhitepaper.pdf" TargetMode="External"/><Relationship Id="rId19" Type="http://schemas.openxmlformats.org/officeDocument/2006/relationships/hyperlink" Target="https://www.scoe.net/divisions/ed_services/curriculum/cadyslexia/" TargetMode="External"/><Relationship Id="rId18" Type="http://schemas.openxmlformats.org/officeDocument/2006/relationships/hyperlink" Target="https://ca-literacy-dyslexia-collab.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